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黑体" w:eastAsia="黑体" w:cs="方正小标宋_GBK"/>
          <w:sz w:val="32"/>
          <w:szCs w:val="36"/>
        </w:rPr>
      </w:pPr>
      <w:r>
        <w:rPr>
          <w:rFonts w:hint="eastAsia" w:ascii="黑体" w:hAnsi="黑体" w:eastAsia="黑体" w:cs="方正小标宋_GBK"/>
          <w:sz w:val="32"/>
          <w:szCs w:val="36"/>
        </w:rPr>
        <w:t>附件</w:t>
      </w:r>
      <w:r>
        <w:rPr>
          <w:rFonts w:hint="eastAsia" w:ascii="黑体" w:hAnsi="黑体" w:eastAsia="黑体" w:cs="方正小标宋_GBK"/>
          <w:sz w:val="32"/>
          <w:szCs w:val="36"/>
          <w:lang w:val="en-US" w:eastAsia="zh-CN"/>
        </w:rPr>
        <w:t>1</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_GBK" w:eastAsia="方正小标宋简体" w:cs="方正小标宋_GBK"/>
          <w:sz w:val="40"/>
          <w:szCs w:val="36"/>
        </w:rPr>
      </w:pPr>
      <w:r>
        <w:rPr>
          <w:rFonts w:hint="eastAsia" w:ascii="方正小标宋简体" w:hAnsi="方正小标宋_GBK" w:eastAsia="方正小标宋简体" w:cs="方正小标宋_GBK"/>
          <w:sz w:val="40"/>
          <w:szCs w:val="36"/>
        </w:rPr>
        <w:t>赣州市政公用</w:t>
      </w:r>
      <w:r>
        <w:rPr>
          <w:rFonts w:hint="eastAsia" w:ascii="方正小标宋简体" w:hAnsi="方正小标宋_GBK" w:eastAsia="方正小标宋简体" w:cs="方正小标宋_GBK"/>
          <w:sz w:val="40"/>
          <w:szCs w:val="36"/>
          <w:lang w:val="en-US" w:eastAsia="zh-CN"/>
        </w:rPr>
        <w:t>投资控股</w:t>
      </w:r>
      <w:r>
        <w:rPr>
          <w:rFonts w:hint="eastAsia" w:ascii="方正小标宋简体" w:hAnsi="方正小标宋_GBK" w:eastAsia="方正小标宋简体" w:cs="方正小标宋_GBK"/>
          <w:sz w:val="40"/>
          <w:szCs w:val="36"/>
        </w:rPr>
        <w:t>集团</w:t>
      </w:r>
      <w:r>
        <w:rPr>
          <w:rFonts w:hint="eastAsia" w:ascii="方正小标宋简体" w:hAnsi="方正小标宋_GBK" w:eastAsia="方正小标宋简体" w:cs="方正小标宋_GBK"/>
          <w:sz w:val="40"/>
          <w:szCs w:val="36"/>
          <w:lang w:val="en-US" w:eastAsia="zh-CN"/>
        </w:rPr>
        <w:t>有限公司公开</w:t>
      </w:r>
      <w:r>
        <w:rPr>
          <w:rFonts w:hint="eastAsia" w:ascii="方正小标宋简体" w:hAnsi="方正小标宋_GBK" w:eastAsia="方正小标宋简体" w:cs="方正小标宋_GBK"/>
          <w:sz w:val="40"/>
          <w:szCs w:val="36"/>
        </w:rPr>
        <w:t>招聘</w:t>
      </w:r>
      <w:r>
        <w:rPr>
          <w:rFonts w:hint="eastAsia" w:ascii="方正小标宋简体" w:hAnsi="方正小标宋_GBK" w:eastAsia="方正小标宋简体" w:cs="方正小标宋_GBK"/>
          <w:sz w:val="40"/>
          <w:szCs w:val="36"/>
          <w:lang w:val="en-US" w:eastAsia="zh-CN"/>
        </w:rPr>
        <w:t>职位</w:t>
      </w:r>
      <w:r>
        <w:rPr>
          <w:rFonts w:hint="eastAsia" w:ascii="方正小标宋简体" w:hAnsi="方正小标宋_GBK" w:eastAsia="方正小标宋简体" w:cs="方正小标宋_GBK"/>
          <w:sz w:val="40"/>
          <w:szCs w:val="36"/>
        </w:rPr>
        <w:t>表</w:t>
      </w:r>
    </w:p>
    <w:tbl>
      <w:tblPr>
        <w:tblStyle w:val="5"/>
        <w:tblW w:w="14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1305"/>
        <w:gridCol w:w="1350"/>
        <w:gridCol w:w="825"/>
        <w:gridCol w:w="3060"/>
        <w:gridCol w:w="6420"/>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8" w:hRule="atLeast"/>
          <w:jc w:val="center"/>
        </w:trPr>
        <w:tc>
          <w:tcPr>
            <w:tcW w:w="521" w:type="dxa"/>
            <w:vAlign w:val="center"/>
          </w:tcPr>
          <w:p>
            <w:pPr>
              <w:widowControl/>
              <w:spacing w:line="40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序号</w:t>
            </w:r>
          </w:p>
        </w:tc>
        <w:tc>
          <w:tcPr>
            <w:tcW w:w="1305" w:type="dxa"/>
            <w:vAlign w:val="center"/>
          </w:tcPr>
          <w:p>
            <w:pPr>
              <w:spacing w:line="40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lang w:val="en-US" w:eastAsia="zh-CN"/>
              </w:rPr>
              <w:t>用人</w:t>
            </w:r>
            <w:r>
              <w:rPr>
                <w:rFonts w:hint="eastAsia" w:ascii="仿宋_GB2312" w:hAnsi="仿宋_GB2312" w:eastAsia="仿宋_GB2312" w:cs="仿宋_GB2312"/>
                <w:b/>
                <w:color w:val="000000"/>
                <w:kern w:val="0"/>
                <w:sz w:val="24"/>
                <w:szCs w:val="24"/>
              </w:rPr>
              <w:t>单位</w:t>
            </w:r>
          </w:p>
        </w:tc>
        <w:tc>
          <w:tcPr>
            <w:tcW w:w="1350" w:type="dxa"/>
            <w:vAlign w:val="center"/>
          </w:tcPr>
          <w:p>
            <w:pPr>
              <w:widowControl/>
              <w:spacing w:line="40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招聘岗位</w:t>
            </w:r>
          </w:p>
        </w:tc>
        <w:tc>
          <w:tcPr>
            <w:tcW w:w="825" w:type="dxa"/>
            <w:vAlign w:val="center"/>
          </w:tcPr>
          <w:p>
            <w:pPr>
              <w:widowControl/>
              <w:spacing w:line="40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招聘</w:t>
            </w:r>
          </w:p>
          <w:p>
            <w:pPr>
              <w:spacing w:line="400" w:lineRule="exact"/>
              <w:jc w:val="center"/>
              <w:rPr>
                <w:rFonts w:hint="eastAsia" w:ascii="仿宋_GB2312" w:hAnsi="仿宋_GB2312" w:eastAsia="仿宋_GB2312" w:cs="仿宋_GB2312"/>
                <w:b/>
                <w:color w:val="000000"/>
                <w:kern w:val="0"/>
                <w:sz w:val="24"/>
                <w:szCs w:val="24"/>
              </w:rPr>
            </w:pPr>
            <w:r>
              <w:rPr>
                <w:rFonts w:hint="eastAsia" w:ascii="仿宋_GB2312" w:hAnsi="仿宋_GB2312" w:eastAsia="仿宋_GB2312" w:cs="仿宋_GB2312"/>
                <w:b/>
                <w:color w:val="000000"/>
                <w:kern w:val="0"/>
                <w:sz w:val="24"/>
                <w:szCs w:val="24"/>
              </w:rPr>
              <w:t>人数</w:t>
            </w:r>
          </w:p>
        </w:tc>
        <w:tc>
          <w:tcPr>
            <w:tcW w:w="3060" w:type="dxa"/>
            <w:vAlign w:val="center"/>
          </w:tcPr>
          <w:p>
            <w:pPr>
              <w:widowControl/>
              <w:spacing w:line="400" w:lineRule="exact"/>
              <w:jc w:val="center"/>
              <w:rPr>
                <w:rFonts w:hint="eastAsia" w:ascii="仿宋_GB2312" w:hAnsi="仿宋_GB2312" w:eastAsia="仿宋_GB2312" w:cs="仿宋_GB2312"/>
                <w:b/>
                <w:color w:val="000000"/>
                <w:kern w:val="0"/>
                <w:sz w:val="24"/>
                <w:szCs w:val="24"/>
                <w:lang w:val="en-US" w:eastAsia="zh-CN"/>
              </w:rPr>
            </w:pPr>
            <w:r>
              <w:rPr>
                <w:rFonts w:hint="eastAsia" w:ascii="仿宋_GB2312" w:hAnsi="仿宋_GB2312" w:eastAsia="仿宋_GB2312" w:cs="仿宋_GB2312"/>
                <w:b/>
                <w:color w:val="000000"/>
                <w:kern w:val="0"/>
                <w:sz w:val="24"/>
                <w:szCs w:val="24"/>
                <w:lang w:val="en-US" w:eastAsia="zh-CN"/>
              </w:rPr>
              <w:t>岗位职责</w:t>
            </w:r>
          </w:p>
        </w:tc>
        <w:tc>
          <w:tcPr>
            <w:tcW w:w="6420" w:type="dxa"/>
            <w:vAlign w:val="center"/>
          </w:tcPr>
          <w:p>
            <w:pPr>
              <w:widowControl/>
              <w:spacing w:line="400" w:lineRule="exact"/>
              <w:jc w:val="center"/>
              <w:rPr>
                <w:rFonts w:hint="eastAsia" w:ascii="仿宋_GB2312" w:hAnsi="仿宋_GB2312" w:eastAsia="仿宋_GB2312" w:cs="仿宋_GB2312"/>
                <w:b/>
                <w:color w:val="000000"/>
                <w:kern w:val="0"/>
                <w:sz w:val="24"/>
                <w:szCs w:val="24"/>
                <w:lang w:val="en-US" w:eastAsia="zh-CN"/>
              </w:rPr>
            </w:pPr>
            <w:r>
              <w:rPr>
                <w:rFonts w:hint="eastAsia" w:ascii="仿宋_GB2312" w:hAnsi="仿宋_GB2312" w:eastAsia="仿宋_GB2312" w:cs="仿宋_GB2312"/>
                <w:b/>
                <w:color w:val="000000"/>
                <w:kern w:val="0"/>
                <w:sz w:val="24"/>
                <w:szCs w:val="24"/>
                <w:lang w:val="en-US" w:eastAsia="zh-CN"/>
              </w:rPr>
              <w:t>招聘条件</w:t>
            </w:r>
          </w:p>
        </w:tc>
        <w:tc>
          <w:tcPr>
            <w:tcW w:w="745" w:type="dxa"/>
            <w:vAlign w:val="center"/>
          </w:tcPr>
          <w:p>
            <w:pPr>
              <w:widowControl/>
              <w:spacing w:line="400" w:lineRule="exact"/>
              <w:jc w:val="center"/>
              <w:rPr>
                <w:rFonts w:hint="default" w:ascii="仿宋_GB2312" w:hAnsi="仿宋_GB2312" w:eastAsia="仿宋_GB2312" w:cs="仿宋_GB2312"/>
                <w:b/>
                <w:color w:val="000000"/>
                <w:kern w:val="0"/>
                <w:sz w:val="24"/>
                <w:szCs w:val="24"/>
                <w:lang w:val="en-US" w:eastAsia="zh-CN"/>
              </w:rPr>
            </w:pPr>
            <w:r>
              <w:rPr>
                <w:rFonts w:hint="eastAsia" w:ascii="仿宋_GB2312" w:hAnsi="仿宋_GB2312" w:eastAsia="仿宋_GB2312" w:cs="仿宋_GB2312"/>
                <w:b/>
                <w:color w:val="000000"/>
                <w:kern w:val="0"/>
                <w:sz w:val="24"/>
                <w:szCs w:val="24"/>
                <w:lang w:val="en-US" w:eastAsia="zh-CN"/>
              </w:rPr>
              <w:t>事项说明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0" w:hRule="atLeast"/>
          <w:jc w:val="center"/>
        </w:trPr>
        <w:tc>
          <w:tcPr>
            <w:tcW w:w="521" w:type="dxa"/>
            <w:vAlign w:val="center"/>
          </w:tcPr>
          <w:p>
            <w:pPr>
              <w:widowControl/>
              <w:spacing w:line="400" w:lineRule="exact"/>
              <w:jc w:val="center"/>
              <w:rPr>
                <w:rFonts w:hint="eastAsia" w:ascii="仿宋_GB2312" w:hAnsi="仿宋_GB2312" w:eastAsia="仿宋_GB2312" w:cs="仿宋_GB2312"/>
                <w:b w:val="0"/>
                <w:bCs/>
                <w:color w:val="000000"/>
                <w:kern w:val="0"/>
                <w:sz w:val="21"/>
                <w:szCs w:val="21"/>
                <w:lang w:val="en-US" w:eastAsia="zh-CN"/>
              </w:rPr>
            </w:pPr>
            <w:r>
              <w:rPr>
                <w:rFonts w:hint="eastAsia" w:ascii="仿宋_GB2312" w:hAnsi="仿宋_GB2312" w:eastAsia="仿宋_GB2312" w:cs="仿宋_GB2312"/>
                <w:b w:val="0"/>
                <w:bCs/>
                <w:color w:val="000000"/>
                <w:kern w:val="0"/>
                <w:sz w:val="21"/>
                <w:szCs w:val="21"/>
                <w:lang w:val="en-US" w:eastAsia="zh-CN"/>
              </w:rPr>
              <w:t>1</w:t>
            </w:r>
          </w:p>
        </w:tc>
        <w:tc>
          <w:tcPr>
            <w:tcW w:w="1305" w:type="dxa"/>
            <w:vAlign w:val="center"/>
          </w:tcPr>
          <w:p>
            <w:pPr>
              <w:widowControl/>
              <w:spacing w:line="30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赣州顺浩投资有限公司</w:t>
            </w:r>
          </w:p>
        </w:tc>
        <w:tc>
          <w:tcPr>
            <w:tcW w:w="1350" w:type="dxa"/>
            <w:vAlign w:val="center"/>
          </w:tcPr>
          <w:p>
            <w:pPr>
              <w:widowControl/>
              <w:spacing w:line="30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副总经理</w:t>
            </w:r>
          </w:p>
        </w:tc>
        <w:tc>
          <w:tcPr>
            <w:tcW w:w="825" w:type="dxa"/>
            <w:vAlign w:val="center"/>
          </w:tcPr>
          <w:p>
            <w:pPr>
              <w:widowControl/>
              <w:spacing w:line="30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w:t>
            </w:r>
          </w:p>
        </w:tc>
        <w:tc>
          <w:tcPr>
            <w:tcW w:w="3060" w:type="dxa"/>
            <w:vAlign w:val="center"/>
          </w:tcPr>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1.协助总经理开展日常经营管理工作，完成经营业绩考核任务；</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2.负责分管部门、单位的投资管理工作，指导保障业务正常开展，督促达成经营任务目标；</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3.负责拓展、推进、指导投资项目的实施，包括项目的发掘、筛选立项，对拟投资项目开展可行性研究、投资谈判，统筹完善投资方案设计、项目价值分析以及项目的投后管理和退出；</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4.建立、维护与政府、金融机构、合作伙伴的良好关系；</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5.完成上级交办的其他工作。</w:t>
            </w:r>
          </w:p>
        </w:tc>
        <w:tc>
          <w:tcPr>
            <w:tcW w:w="6420" w:type="dxa"/>
            <w:vAlign w:val="center"/>
          </w:tcPr>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1.具有较高的政治素质，学习贯彻习近平新时代中国特色社会主义思想，坚持国有企业的社会主义方向，拥护党的领导。</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2.遵纪守法，品行端正，诚信廉洁，勤奋敬业，团结合作，作风严谨，具有良好的职业素养和道德品质，具有良好的个人信用，廉洁从业。</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3.身体健康，年龄40周岁以内（1982年1月29日以后出生），本科以上学历，财务、法律、金融、投资、工程管理、造价咨询等相关专业，无不良从业记录。</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4.具有3年以上项目投资运营管理经验或从事过县级以上政府投资平台运营管理工作。</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5.熟悉国家经济政策及财经法规，熟悉市政民生类项目及城市公用资源和社会公共服务产品的行业现状，具备行业分析和预判能力。</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6.熟悉项目投资运营，具备一定的社会资源和人际交往、项目谈判、项目投资分析能力，能够预判企业盈利能力。</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7.熟悉国有企业及政府投资管理、投资风险防控等方面知识，具备投资风险评估与评价业务能力。</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8.具有较强的沟通和组织协调能力，具备出色的领导才能、分析判断力、决策能力、运营管理能力和前瞻性战略思维，执行力强，有敏锐的市场洞察力，能独立开拓市场、带领团队、开发客户资源，具备良好的职业道德和抗压能力。</w:t>
            </w:r>
          </w:p>
        </w:tc>
        <w:tc>
          <w:tcPr>
            <w:tcW w:w="745" w:type="dxa"/>
            <w:vAlign w:val="center"/>
          </w:tcPr>
          <w:p>
            <w:pPr>
              <w:widowControl/>
              <w:spacing w:line="300" w:lineRule="exact"/>
              <w:jc w:val="center"/>
              <w:rPr>
                <w:rFonts w:hint="eastAsia" w:ascii="仿宋_GB2312" w:hAnsi="仿宋_GB2312" w:eastAsia="仿宋_GB2312" w:cs="仿宋_GB2312"/>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0" w:hRule="atLeast"/>
          <w:jc w:val="center"/>
        </w:trPr>
        <w:tc>
          <w:tcPr>
            <w:tcW w:w="521" w:type="dxa"/>
            <w:vAlign w:val="center"/>
          </w:tcPr>
          <w:p>
            <w:pPr>
              <w:widowControl/>
              <w:spacing w:line="400" w:lineRule="exact"/>
              <w:jc w:val="center"/>
              <w:rPr>
                <w:rFonts w:hint="eastAsia" w:ascii="仿宋_GB2312" w:hAnsi="仿宋_GB2312" w:eastAsia="仿宋_GB2312" w:cs="仿宋_GB2312"/>
                <w:b w:val="0"/>
                <w:bCs/>
                <w:color w:val="000000"/>
                <w:kern w:val="0"/>
                <w:sz w:val="21"/>
                <w:szCs w:val="21"/>
                <w:lang w:val="en-US" w:eastAsia="zh-CN"/>
              </w:rPr>
            </w:pPr>
            <w:r>
              <w:rPr>
                <w:rFonts w:hint="eastAsia" w:ascii="仿宋_GB2312" w:hAnsi="仿宋_GB2312" w:eastAsia="仿宋_GB2312" w:cs="仿宋_GB2312"/>
                <w:b w:val="0"/>
                <w:bCs/>
                <w:color w:val="000000"/>
                <w:kern w:val="0"/>
                <w:sz w:val="21"/>
                <w:szCs w:val="21"/>
                <w:lang w:val="en-US" w:eastAsia="zh-CN"/>
              </w:rPr>
              <w:t>2</w:t>
            </w:r>
            <w:bookmarkStart w:id="0" w:name="_GoBack"/>
            <w:bookmarkEnd w:id="0"/>
          </w:p>
        </w:tc>
        <w:tc>
          <w:tcPr>
            <w:tcW w:w="1305" w:type="dxa"/>
            <w:vAlign w:val="center"/>
          </w:tcPr>
          <w:p>
            <w:pPr>
              <w:widowControl/>
              <w:spacing w:line="30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赣州市方园市政工程开发有限公司</w:t>
            </w:r>
          </w:p>
        </w:tc>
        <w:tc>
          <w:tcPr>
            <w:tcW w:w="1350" w:type="dxa"/>
            <w:vAlign w:val="center"/>
          </w:tcPr>
          <w:p>
            <w:pPr>
              <w:widowControl/>
              <w:spacing w:line="30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总经理</w:t>
            </w:r>
          </w:p>
        </w:tc>
        <w:tc>
          <w:tcPr>
            <w:tcW w:w="825" w:type="dxa"/>
            <w:vAlign w:val="center"/>
          </w:tcPr>
          <w:p>
            <w:pPr>
              <w:widowControl/>
              <w:spacing w:line="300" w:lineRule="exact"/>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w:t>
            </w:r>
          </w:p>
        </w:tc>
        <w:tc>
          <w:tcPr>
            <w:tcW w:w="3060" w:type="dxa"/>
            <w:vAlign w:val="center"/>
          </w:tcPr>
          <w:p>
            <w:pPr>
              <w:widowControl/>
              <w:numPr>
                <w:ilvl w:val="0"/>
                <w:numId w:val="0"/>
              </w:numPr>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1.在集团公司的领导下，按照本公司的发展战略，负责开展日常经营管理工作，做好项目管理、财务运营、安全文明等工作，完成经营业绩考核任务；</w:t>
            </w:r>
          </w:p>
          <w:p>
            <w:pPr>
              <w:widowControl/>
              <w:numPr>
                <w:ilvl w:val="0"/>
                <w:numId w:val="0"/>
              </w:numPr>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2.认真贯彻执行国家的方针、政策、法规和集团公司各项规章制度；</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3.负责对公司内部管理和涉外部门进行沟通和联系；</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4.完成上级交办的其他工作。</w:t>
            </w:r>
          </w:p>
          <w:p>
            <w:pPr>
              <w:widowControl/>
              <w:spacing w:line="300" w:lineRule="exact"/>
              <w:jc w:val="left"/>
              <w:rPr>
                <w:rFonts w:hint="eastAsia" w:ascii="仿宋_GB2312" w:hAnsi="仿宋_GB2312" w:eastAsia="仿宋_GB2312" w:cs="仿宋_GB2312"/>
                <w:color w:val="000000"/>
                <w:kern w:val="0"/>
                <w:sz w:val="21"/>
                <w:szCs w:val="21"/>
                <w:lang w:val="en-US" w:eastAsia="zh-CN"/>
              </w:rPr>
            </w:pPr>
          </w:p>
          <w:p>
            <w:pPr>
              <w:widowControl/>
              <w:spacing w:line="300" w:lineRule="exact"/>
              <w:jc w:val="left"/>
              <w:rPr>
                <w:rFonts w:hint="eastAsia" w:ascii="仿宋_GB2312" w:hAnsi="仿宋_GB2312" w:eastAsia="仿宋_GB2312" w:cs="仿宋_GB2312"/>
                <w:color w:val="000000"/>
                <w:kern w:val="0"/>
                <w:sz w:val="21"/>
                <w:szCs w:val="21"/>
                <w:lang w:val="en-US" w:eastAsia="zh-CN"/>
              </w:rPr>
            </w:pPr>
          </w:p>
          <w:p>
            <w:pPr>
              <w:widowControl/>
              <w:spacing w:line="300" w:lineRule="exact"/>
              <w:jc w:val="left"/>
              <w:rPr>
                <w:rFonts w:hint="eastAsia" w:ascii="仿宋_GB2312" w:hAnsi="仿宋_GB2312" w:eastAsia="仿宋_GB2312" w:cs="仿宋_GB2312"/>
                <w:color w:val="000000"/>
                <w:kern w:val="0"/>
                <w:sz w:val="21"/>
                <w:szCs w:val="21"/>
                <w:lang w:val="en-US" w:eastAsia="zh-CN"/>
              </w:rPr>
            </w:pPr>
          </w:p>
        </w:tc>
        <w:tc>
          <w:tcPr>
            <w:tcW w:w="6420" w:type="dxa"/>
            <w:vAlign w:val="center"/>
          </w:tcPr>
          <w:p>
            <w:pPr>
              <w:widowControl/>
              <w:spacing w:line="300" w:lineRule="exact"/>
              <w:jc w:val="left"/>
              <w:rPr>
                <w:rFonts w:hint="eastAsia" w:ascii="仿宋_GB2312" w:hAnsi="仿宋_GB2312" w:eastAsia="仿宋_GB2312" w:cs="仿宋_GB2312"/>
                <w:color w:val="000000"/>
                <w:kern w:val="0"/>
                <w:sz w:val="21"/>
                <w:szCs w:val="21"/>
                <w:lang w:val="en-US" w:eastAsia="zh-CN"/>
              </w:rPr>
            </w:pP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1.具有较高的政治素质，学习贯彻习近平新时代中国特色社会主义思想，坚持国有企业的社会主义方向，拥护党的领导。</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2.遵纪守法，品行端正，诚信廉洁，勤奋敬业，团结合作，作风严谨，具有良好的职业素养和道德品质，具有良好的个人信用，廉洁从业。</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3.身体健康，年龄40周岁以内（1982年1月29日以后出生），本科以上学历，市政工程、工程管理、土木工程等相关专业，无不良从业记录，要求中共党员。</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4.在行业领域具有3年以上工程管理工作经验，2年以上公司副总（地市级平台公司中层副职）以上岗位工作经历。</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5.熟悉工程设计、现场管理及市政工程规范要求，能够把握行业技术发展趋势和业务发展动向，对关键技术有自己独到见解，熟悉市政民生类项目及城市公用资源的行业现状，具备行业分析和预判能力。</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6.熟悉国有企业及政府工程项目管理、工程项目风险防控等方面知识，具备工程项目风险评估与评价业务能力。</w:t>
            </w:r>
          </w:p>
          <w:p>
            <w:pPr>
              <w:widowControl/>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lang w:val="en-US" w:eastAsia="zh-CN"/>
              </w:rPr>
              <w:t>7.具有较强的沟通、组织协调能力和团队建设能力，具备出色的领导才能、分析判断力、决策能力，执行力强，具备很强的创造能力、拓展能力、抽象思维能力和项目管理能力，具备良好的职业道德和抗压能力。</w:t>
            </w:r>
          </w:p>
        </w:tc>
        <w:tc>
          <w:tcPr>
            <w:tcW w:w="745" w:type="dxa"/>
            <w:vAlign w:val="center"/>
          </w:tcPr>
          <w:p>
            <w:pPr>
              <w:widowControl/>
              <w:spacing w:line="300" w:lineRule="exact"/>
              <w:jc w:val="center"/>
              <w:rPr>
                <w:rFonts w:hint="eastAsia" w:ascii="仿宋_GB2312" w:hAnsi="仿宋_GB2312" w:eastAsia="仿宋_GB2312" w:cs="仿宋_GB2312"/>
                <w:color w:val="000000"/>
                <w:kern w:val="0"/>
                <w:sz w:val="21"/>
                <w:szCs w:val="21"/>
              </w:rPr>
            </w:pPr>
          </w:p>
        </w:tc>
      </w:tr>
    </w:tbl>
    <w:p>
      <w:pPr>
        <w:pStyle w:val="2"/>
        <w:sectPr>
          <w:footerReference r:id="rId3" w:type="default"/>
          <w:pgSz w:w="16838" w:h="11906" w:orient="landscape"/>
          <w:pgMar w:top="1701" w:right="1440" w:bottom="1418" w:left="1440" w:header="851" w:footer="992" w:gutter="0"/>
          <w:pgNumType w:fmt="decimal"/>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A7EE2D-5920-43B1-BB55-5061AADE92C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C05E3B0-2E4D-43D5-8FEC-FC3310DDE823}"/>
  </w:font>
  <w:font w:name="仿宋_GB2312">
    <w:panose1 w:val="02010609030101010101"/>
    <w:charset w:val="86"/>
    <w:family w:val="auto"/>
    <w:pitch w:val="default"/>
    <w:sig w:usb0="00000001" w:usb1="080E0000" w:usb2="00000000" w:usb3="00000000" w:csb0="00040000" w:csb1="00000000"/>
    <w:embedRegular r:id="rId3" w:fontKey="{5DE4304A-8C15-4DC5-B4F0-498B710233AE}"/>
  </w:font>
  <w:font w:name="方正小标宋_GBK">
    <w:panose1 w:val="02000000000000000000"/>
    <w:charset w:val="86"/>
    <w:family w:val="auto"/>
    <w:pitch w:val="default"/>
    <w:sig w:usb0="A00002BF" w:usb1="38CF7CFA" w:usb2="00082016" w:usb3="00000000" w:csb0="00040001" w:csb1="00000000"/>
    <w:embedRegular r:id="rId4" w:fontKey="{ED43425A-5436-42E0-96FE-9B1D695187C8}"/>
  </w:font>
  <w:font w:name="方正小标宋简体">
    <w:panose1 w:val="03000509000000000000"/>
    <w:charset w:val="86"/>
    <w:family w:val="auto"/>
    <w:pitch w:val="default"/>
    <w:sig w:usb0="00000001" w:usb1="080E0000" w:usb2="00000000" w:usb3="00000000" w:csb0="00040000" w:csb1="00000000"/>
    <w:embedRegular r:id="rId5" w:fontKey="{9E118F45-CD0D-4424-A962-0B4E8CA1B7A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92B08"/>
    <w:rsid w:val="2F592B08"/>
    <w:rsid w:val="5DA43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Arial" w:hAnsi="Arial" w:eastAsia="仿宋_GB2312"/>
      <w:bCs/>
      <w:sz w:val="30"/>
      <w:szCs w:val="32"/>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2022-01-29T03:48:00Z</dcterms:created>
  <dc:creator>聂天才 </dc:creator>
  <cp:lastModifiedBy>聂天才 </cp:lastModifiedBy>
  <dcterms:modified xsi:type="dcterms:W3CDTF">2022-01-29T04:32:00Z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16A09CC33C0F42C89E9C885D4937B4AD</vt:lpwstr>
  </property>
</Properties>
</file>